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622303" w:rsidRPr="00622303">
        <w:rPr>
          <w:b/>
          <w:bCs/>
        </w:rPr>
        <w:t>медицинских перчаток</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c"/>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c"/>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c"/>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622303" w:rsidRPr="00622303">
        <w:rPr>
          <w:bCs/>
        </w:rPr>
        <w:t>медицинских перчаток</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90639C">
        <w:rPr>
          <w:bCs/>
        </w:rPr>
        <w:t>705 120</w:t>
      </w:r>
      <w:r w:rsidR="00D11648" w:rsidRPr="00D11648">
        <w:rPr>
          <w:bCs/>
        </w:rPr>
        <w:t xml:space="preserve"> </w:t>
      </w:r>
      <w:r w:rsidR="00002B92" w:rsidRPr="00D70774">
        <w:rPr>
          <w:bCs/>
        </w:rPr>
        <w:t>(</w:t>
      </w:r>
      <w:r w:rsidR="0090639C">
        <w:rPr>
          <w:bCs/>
        </w:rPr>
        <w:t>Семьсот пять</w:t>
      </w:r>
      <w:r w:rsidR="00F17066">
        <w:rPr>
          <w:bCs/>
        </w:rPr>
        <w:t xml:space="preserve"> </w:t>
      </w:r>
      <w:r w:rsidR="00002B92">
        <w:rPr>
          <w:bCs/>
        </w:rPr>
        <w:t>тысяч</w:t>
      </w:r>
      <w:r w:rsidR="00F17066">
        <w:rPr>
          <w:bCs/>
        </w:rPr>
        <w:t xml:space="preserve"> </w:t>
      </w:r>
      <w:r w:rsidR="0090639C">
        <w:rPr>
          <w:bCs/>
        </w:rPr>
        <w:t>сто двадцать</w:t>
      </w:r>
      <w:r w:rsidR="00002B92" w:rsidRPr="00D70774">
        <w:rPr>
          <w:bCs/>
        </w:rPr>
        <w:t>)</w:t>
      </w:r>
      <w:r w:rsidR="00002B92">
        <w:rPr>
          <w:bCs/>
        </w:rPr>
        <w:t xml:space="preserve"> рубл</w:t>
      </w:r>
      <w:r w:rsidR="0090639C">
        <w:rPr>
          <w:bCs/>
        </w:rPr>
        <w:t>ей 0</w:t>
      </w:r>
      <w:r w:rsidR="00495B4B">
        <w:rPr>
          <w:bCs/>
        </w:rPr>
        <w:t>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90639C">
        <w:rPr>
          <w:bCs/>
        </w:rPr>
        <w:t>4</w:t>
      </w:r>
      <w:r w:rsidR="00B824A1" w:rsidRPr="00A87C5F">
        <w:rPr>
          <w:bCs/>
        </w:rPr>
        <w:t>.0</w:t>
      </w:r>
      <w:r w:rsidR="0090639C">
        <w:rPr>
          <w:bCs/>
        </w:rPr>
        <w:t>8</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90639C">
        <w:rPr>
          <w:bCs/>
        </w:rPr>
        <w:t>01</w:t>
      </w:r>
      <w:r w:rsidR="00EE3027" w:rsidRPr="00A87C5F">
        <w:rPr>
          <w:bCs/>
        </w:rPr>
        <w:t>.0</w:t>
      </w:r>
      <w:r w:rsidR="0090639C">
        <w:rPr>
          <w:bCs/>
        </w:rPr>
        <w:t>9</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90639C">
        <w:rPr>
          <w:bCs/>
        </w:rPr>
        <w:t>9</w:t>
      </w:r>
      <w:r w:rsidR="0099327F" w:rsidRPr="00A87C5F">
        <w:rPr>
          <w:bCs/>
        </w:rPr>
        <w:t>:</w:t>
      </w:r>
      <w:r w:rsidR="0090639C">
        <w:rPr>
          <w:bCs/>
        </w:rPr>
        <w:t>0</w:t>
      </w:r>
      <w:r w:rsidR="00A068B8">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w:t>
            </w:r>
            <w:r w:rsidR="0090639C">
              <w:rPr>
                <w:b/>
                <w:sz w:val="28"/>
                <w:szCs w:val="28"/>
              </w:rPr>
              <w:t>4</w:t>
            </w:r>
            <w:r w:rsidRPr="00A25B88">
              <w:rPr>
                <w:b/>
                <w:sz w:val="28"/>
                <w:szCs w:val="28"/>
              </w:rPr>
              <w:t xml:space="preserve">» </w:t>
            </w:r>
            <w:r w:rsidR="0090639C">
              <w:rPr>
                <w:b/>
                <w:sz w:val="28"/>
                <w:szCs w:val="28"/>
              </w:rPr>
              <w:t>августа</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622303" w:rsidRPr="00622303">
        <w:rPr>
          <w:b/>
          <w:bCs/>
          <w:szCs w:val="38"/>
        </w:rPr>
        <w:t>медицинских перчаток</w:t>
      </w:r>
    </w:p>
    <w:p w:rsidR="00B34727" w:rsidRPr="00760DDB" w:rsidRDefault="00B34727" w:rsidP="00B34727">
      <w:pPr>
        <w:jc w:val="center"/>
        <w:rPr>
          <w:b/>
          <w:sz w:val="40"/>
          <w:szCs w:val="40"/>
        </w:rPr>
      </w:pPr>
    </w:p>
    <w:p w:rsidR="00B34727" w:rsidRPr="00CD5872" w:rsidRDefault="00CD5872" w:rsidP="00B34727">
      <w:pPr>
        <w:jc w:val="center"/>
        <w:rPr>
          <w:i/>
          <w:sz w:val="40"/>
          <w:szCs w:val="40"/>
        </w:rPr>
      </w:pPr>
      <w:bookmarkStart w:id="0" w:name="_GoBack"/>
      <w:r w:rsidRPr="00CD5872">
        <w:rPr>
          <w:i/>
          <w:sz w:val="40"/>
          <w:szCs w:val="40"/>
        </w:rPr>
        <w:t>редакция от 25.08.2021г</w:t>
      </w:r>
    </w:p>
    <w:bookmarkEnd w:id="0"/>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622303" w:rsidRPr="00622303">
              <w:rPr>
                <w:b/>
                <w:bCs/>
              </w:rPr>
              <w:t>медицинских перчаток</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90639C" w:rsidP="0090639C">
            <w:pPr>
              <w:pStyle w:val="rvps9"/>
              <w:rPr>
                <w:iCs/>
              </w:rPr>
            </w:pPr>
            <w:r>
              <w:rPr>
                <w:bCs/>
              </w:rPr>
              <w:t>705 120</w:t>
            </w:r>
            <w:r w:rsidR="00495B4B" w:rsidRPr="00D11648">
              <w:rPr>
                <w:bCs/>
              </w:rPr>
              <w:t xml:space="preserve"> </w:t>
            </w:r>
            <w:r w:rsidR="00495B4B" w:rsidRPr="00D70774">
              <w:rPr>
                <w:bCs/>
              </w:rPr>
              <w:t>(</w:t>
            </w:r>
            <w:r>
              <w:rPr>
                <w:bCs/>
              </w:rPr>
              <w:t>Семьсот пять</w:t>
            </w:r>
            <w:r w:rsidR="00495B4B">
              <w:rPr>
                <w:bCs/>
              </w:rPr>
              <w:t xml:space="preserve"> тысяч </w:t>
            </w:r>
            <w:r>
              <w:rPr>
                <w:bCs/>
              </w:rPr>
              <w:t>сто двадцать</w:t>
            </w:r>
            <w:r w:rsidR="00495B4B" w:rsidRPr="00D70774">
              <w:rPr>
                <w:bCs/>
              </w:rPr>
              <w:t>)</w:t>
            </w:r>
            <w:r>
              <w:rPr>
                <w:bCs/>
              </w:rPr>
              <w:t xml:space="preserve"> рублей 0</w:t>
            </w:r>
            <w:r w:rsidR="00495B4B">
              <w:rPr>
                <w:bCs/>
              </w:rPr>
              <w:t>0</w:t>
            </w:r>
            <w:r w:rsidR="00495B4B"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w:t>
            </w:r>
            <w:r w:rsidR="0090639C">
              <w:t>«</w:t>
            </w:r>
            <w:r>
              <w:t>2</w:t>
            </w:r>
            <w:r w:rsidR="0090639C">
              <w:t>4</w:t>
            </w:r>
            <w:r w:rsidR="005F32CA" w:rsidRPr="00A87C5F">
              <w:t xml:space="preserve">» </w:t>
            </w:r>
            <w:r w:rsidR="0090639C">
              <w:t>августа</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BF095D">
              <w:rPr>
                <w:lang w:val="en-US"/>
              </w:rPr>
              <w:t>01</w:t>
            </w:r>
            <w:r w:rsidR="005F32CA" w:rsidRPr="00A87C5F">
              <w:t xml:space="preserve">» </w:t>
            </w:r>
            <w:r w:rsidR="00BF095D">
              <w:t>сентября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90639C">
              <w:t>9</w:t>
            </w:r>
            <w:r w:rsidR="005F32CA" w:rsidRPr="00A87C5F">
              <w:t>:</w:t>
            </w:r>
            <w:r w:rsidR="0090639C">
              <w:t>0</w:t>
            </w:r>
            <w:r w:rsidR="006F1061">
              <w:t>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BF095D" w:rsidP="0090639C">
            <w:pPr>
              <w:jc w:val="both"/>
            </w:pPr>
            <w:r w:rsidRPr="00A87C5F">
              <w:t>«</w:t>
            </w:r>
            <w:r>
              <w:rPr>
                <w:lang w:val="en-US"/>
              </w:rPr>
              <w:t>01</w:t>
            </w:r>
            <w:r w:rsidRPr="00A87C5F">
              <w:t xml:space="preserve">» </w:t>
            </w:r>
            <w:r>
              <w:t>сентября</w:t>
            </w:r>
            <w:r w:rsidRPr="00A87C5F">
              <w:t xml:space="preserve"> </w:t>
            </w:r>
            <w:r w:rsidR="00E86C8D" w:rsidRPr="00A87C5F">
              <w:t>20</w:t>
            </w:r>
            <w:r w:rsidR="00E86C8D">
              <w:t>21</w:t>
            </w:r>
            <w:r w:rsidR="00E86C8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BF095D" w:rsidP="0090639C">
            <w:pPr>
              <w:jc w:val="both"/>
            </w:pPr>
            <w:r w:rsidRPr="00A87C5F">
              <w:t>«</w:t>
            </w:r>
            <w:r>
              <w:rPr>
                <w:lang w:val="en-US"/>
              </w:rPr>
              <w:t>01</w:t>
            </w:r>
            <w:r w:rsidRPr="00A87C5F">
              <w:t xml:space="preserve">» </w:t>
            </w:r>
            <w:r>
              <w:t>сентября</w:t>
            </w:r>
            <w:r w:rsidRPr="00A87C5F">
              <w:t xml:space="preserve"> </w:t>
            </w:r>
            <w:r w:rsidR="00E86C8D" w:rsidRPr="00A87C5F">
              <w:t>20</w:t>
            </w:r>
            <w:r w:rsidR="00E86C8D">
              <w:t>21</w:t>
            </w:r>
            <w:r w:rsidR="00E86C8D"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CA7CF6">
              <w:rPr>
                <w:b/>
              </w:rPr>
              <w:t>2</w:t>
            </w:r>
            <w:r w:rsidR="0090639C">
              <w:rPr>
                <w:b/>
              </w:rPr>
              <w:t>7</w:t>
            </w:r>
            <w:r w:rsidR="00E86C8D">
              <w:rPr>
                <w:b/>
              </w:rPr>
              <w:t>»</w:t>
            </w:r>
            <w:r w:rsidRPr="00A87C5F">
              <w:rPr>
                <w:b/>
              </w:rPr>
              <w:t xml:space="preserve"> </w:t>
            </w:r>
            <w:r w:rsidR="0090639C">
              <w:rPr>
                <w:b/>
              </w:rPr>
              <w:t>августа</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625821" w:rsidP="00625821">
            <w:pPr>
              <w:ind w:firstLine="319"/>
              <w:jc w:val="both"/>
            </w:pPr>
            <w:r>
              <w:t>В течение 1</w:t>
            </w:r>
            <w:r w:rsidR="007279EE" w:rsidRPr="00A87C5F">
              <w:rPr>
                <w:i/>
              </w:rPr>
              <w:t xml:space="preserve"> (</w:t>
            </w:r>
            <w:r>
              <w:rPr>
                <w:i/>
              </w:rPr>
              <w:t>одного</w:t>
            </w:r>
            <w:r w:rsidR="007279EE" w:rsidRPr="00A87C5F">
              <w:rPr>
                <w:i/>
              </w:rPr>
              <w:t>)</w:t>
            </w:r>
            <w:r w:rsidR="007279EE" w:rsidRPr="00A87C5F">
              <w:t xml:space="preserve"> рабочих дней со дня получения указанного запроса </w:t>
            </w:r>
            <w:r w:rsidR="005B61A2">
              <w:t>ГАУЗ АО «ВСП»</w:t>
            </w:r>
            <w:r w:rsidR="007279EE"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c"/>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4"/>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622303" w:rsidRPr="00622303">
        <w:rPr>
          <w:b/>
          <w:sz w:val="28"/>
        </w:rPr>
        <w:t>медицинских перчаток</w:t>
      </w:r>
    </w:p>
    <w:p w:rsidR="005D0769" w:rsidRPr="007C21B6" w:rsidRDefault="005D0769" w:rsidP="005D0769">
      <w:pPr>
        <w:suppressAutoHyphens/>
        <w:jc w:val="center"/>
        <w:rPr>
          <w:rFonts w:eastAsia="Liberation Serif"/>
          <w:b/>
          <w:bCs/>
          <w:color w:val="000000"/>
          <w:sz w:val="22"/>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5D0769" w:rsidRPr="007C21B6" w:rsidTr="005D0769">
        <w:tc>
          <w:tcPr>
            <w:tcW w:w="447" w:type="dxa"/>
            <w:tcBorders>
              <w:bottom w:val="single" w:sz="4" w:space="0" w:color="auto"/>
            </w:tcBorders>
            <w:shd w:val="clear" w:color="auto" w:fill="auto"/>
            <w:vAlign w:val="center"/>
          </w:tcPr>
          <w:p w:rsidR="005D0769" w:rsidRPr="007C21B6" w:rsidRDefault="005D0769" w:rsidP="005D0769">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tcBorders>
              <w:bottom w:val="single" w:sz="4" w:space="0" w:color="auto"/>
            </w:tcBorders>
            <w:shd w:val="clear" w:color="auto" w:fill="auto"/>
            <w:vAlign w:val="center"/>
          </w:tcPr>
          <w:p w:rsidR="005D0769" w:rsidRPr="007C21B6" w:rsidRDefault="005D0769" w:rsidP="005D0769">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rsidR="005D0769" w:rsidRDefault="005D0769" w:rsidP="005D0769">
            <w:pPr>
              <w:suppressAutoHyphens/>
              <w:snapToGrid w:val="0"/>
              <w:jc w:val="center"/>
              <w:rPr>
                <w:b/>
                <w:color w:val="000000"/>
                <w:sz w:val="20"/>
                <w:szCs w:val="20"/>
                <w:lang w:eastAsia="zh-CN"/>
              </w:rPr>
            </w:pPr>
            <w:r w:rsidRPr="007C21B6">
              <w:rPr>
                <w:b/>
                <w:color w:val="000000"/>
                <w:sz w:val="20"/>
                <w:szCs w:val="20"/>
                <w:lang w:eastAsia="zh-CN"/>
              </w:rPr>
              <w:t>Количество</w:t>
            </w:r>
          </w:p>
          <w:p w:rsidR="005D0769" w:rsidRPr="007C21B6" w:rsidRDefault="005D0769" w:rsidP="005D0769">
            <w:pPr>
              <w:suppressAutoHyphens/>
              <w:snapToGrid w:val="0"/>
              <w:jc w:val="center"/>
              <w:rPr>
                <w:b/>
                <w:color w:val="000000"/>
                <w:sz w:val="20"/>
                <w:szCs w:val="20"/>
                <w:lang w:eastAsia="zh-CN"/>
              </w:rPr>
            </w:pPr>
          </w:p>
        </w:tc>
        <w:tc>
          <w:tcPr>
            <w:tcW w:w="1510" w:type="dxa"/>
            <w:tcBorders>
              <w:bottom w:val="single" w:sz="4" w:space="0" w:color="auto"/>
            </w:tcBorders>
            <w:shd w:val="clear" w:color="auto" w:fill="auto"/>
            <w:vAlign w:val="center"/>
          </w:tcPr>
          <w:p w:rsidR="005D0769" w:rsidRPr="007C21B6" w:rsidRDefault="005D0769" w:rsidP="005D0769">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tcBorders>
              <w:bottom w:val="single" w:sz="4" w:space="0" w:color="auto"/>
            </w:tcBorders>
            <w:shd w:val="clear" w:color="auto" w:fill="auto"/>
            <w:vAlign w:val="center"/>
          </w:tcPr>
          <w:p w:rsidR="005D0769" w:rsidRPr="007C21B6" w:rsidRDefault="005D0769" w:rsidP="005D0769">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5D0769" w:rsidRPr="007C21B6" w:rsidTr="00862AFF">
        <w:trPr>
          <w:trHeight w:val="1646"/>
        </w:trPr>
        <w:tc>
          <w:tcPr>
            <w:tcW w:w="447" w:type="dxa"/>
            <w:tcBorders>
              <w:bottom w:val="single" w:sz="4" w:space="0" w:color="auto"/>
            </w:tcBorders>
            <w:shd w:val="clear" w:color="auto" w:fill="auto"/>
            <w:vAlign w:val="center"/>
          </w:tcPr>
          <w:p w:rsidR="005D0769" w:rsidRPr="007C21B6" w:rsidRDefault="00862AFF" w:rsidP="005D0769">
            <w:pPr>
              <w:suppressAutoHyphens/>
              <w:jc w:val="center"/>
              <w:rPr>
                <w:b/>
                <w:color w:val="000000"/>
                <w:sz w:val="20"/>
                <w:szCs w:val="20"/>
                <w:lang w:eastAsia="zh-CN"/>
              </w:rPr>
            </w:pPr>
            <w:r>
              <w:rPr>
                <w:b/>
                <w:color w:val="000000"/>
                <w:sz w:val="20"/>
                <w:szCs w:val="20"/>
                <w:lang w:eastAsia="zh-CN"/>
              </w:rPr>
              <w:t>1.</w:t>
            </w:r>
          </w:p>
        </w:tc>
        <w:tc>
          <w:tcPr>
            <w:tcW w:w="5043" w:type="dxa"/>
            <w:tcBorders>
              <w:bottom w:val="single" w:sz="4" w:space="0" w:color="auto"/>
            </w:tcBorders>
            <w:shd w:val="clear" w:color="auto" w:fill="auto"/>
          </w:tcPr>
          <w:p w:rsidR="00652496" w:rsidRDefault="00652496" w:rsidP="00C90E78">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C90E78" w:rsidRDefault="00862AFF" w:rsidP="00C90E78">
            <w:pPr>
              <w:rPr>
                <w:color w:val="000000"/>
                <w:sz w:val="20"/>
                <w:szCs w:val="20"/>
              </w:rPr>
            </w:pPr>
            <w:r w:rsidRPr="00157271">
              <w:rPr>
                <w:color w:val="000000"/>
                <w:sz w:val="20"/>
                <w:szCs w:val="20"/>
              </w:rPr>
              <w:t>Перчатки смотровые (диагностические) из натурального</w:t>
            </w:r>
            <w:r w:rsidR="001D5F30">
              <w:rPr>
                <w:color w:val="000000"/>
                <w:sz w:val="20"/>
                <w:szCs w:val="20"/>
              </w:rPr>
              <w:t xml:space="preserve"> каучукового</w:t>
            </w:r>
            <w:r w:rsidRPr="00157271">
              <w:rPr>
                <w:color w:val="000000"/>
                <w:sz w:val="20"/>
                <w:szCs w:val="20"/>
              </w:rPr>
              <w:t xml:space="preserve"> латекса</w:t>
            </w:r>
            <w:r w:rsidR="00E85DC2">
              <w:rPr>
                <w:color w:val="000000"/>
                <w:sz w:val="20"/>
                <w:szCs w:val="20"/>
              </w:rPr>
              <w:t>,</w:t>
            </w:r>
            <w:r w:rsidR="001D5F30">
              <w:rPr>
                <w:color w:val="000000"/>
                <w:sz w:val="20"/>
                <w:szCs w:val="20"/>
              </w:rPr>
              <w:t xml:space="preserve"> </w:t>
            </w:r>
            <w:proofErr w:type="spellStart"/>
            <w:r w:rsidR="001D5F30">
              <w:rPr>
                <w:color w:val="000000"/>
                <w:sz w:val="20"/>
                <w:szCs w:val="20"/>
              </w:rPr>
              <w:t>биодеградируемы</w:t>
            </w:r>
            <w:r w:rsidR="00E85DC2">
              <w:rPr>
                <w:color w:val="000000"/>
                <w:sz w:val="20"/>
                <w:szCs w:val="20"/>
              </w:rPr>
              <w:t>е</w:t>
            </w:r>
            <w:proofErr w:type="spellEnd"/>
            <w:r w:rsidR="00E85DC2">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sidR="00652496">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sidR="00C90E78">
              <w:rPr>
                <w:color w:val="000000"/>
                <w:sz w:val="20"/>
                <w:szCs w:val="20"/>
              </w:rPr>
              <w:t xml:space="preserve"> </w:t>
            </w:r>
            <w:r w:rsidR="00C90E78" w:rsidRPr="00C90E78">
              <w:rPr>
                <w:color w:val="000000"/>
                <w:sz w:val="20"/>
                <w:szCs w:val="20"/>
              </w:rPr>
              <w:t>Длина перчатки не менее 240 мм.</w:t>
            </w:r>
            <w:r w:rsidRPr="00951075">
              <w:rPr>
                <w:color w:val="000000"/>
                <w:sz w:val="20"/>
                <w:szCs w:val="20"/>
              </w:rPr>
              <w:t xml:space="preserve"> </w:t>
            </w:r>
          </w:p>
          <w:p w:rsidR="005D0769" w:rsidRPr="00951075" w:rsidRDefault="00862AFF" w:rsidP="00C90E78">
            <w:pPr>
              <w:rPr>
                <w:color w:val="000000"/>
                <w:sz w:val="20"/>
                <w:szCs w:val="20"/>
              </w:rPr>
            </w:pPr>
            <w:r w:rsidRPr="00951075">
              <w:rPr>
                <w:color w:val="000000"/>
                <w:sz w:val="20"/>
                <w:szCs w:val="20"/>
              </w:rPr>
              <w:t xml:space="preserve">Размер XS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tcBorders>
              <w:bottom w:val="single" w:sz="4" w:space="0" w:color="auto"/>
            </w:tcBorders>
            <w:shd w:val="clear" w:color="auto" w:fill="auto"/>
            <w:vAlign w:val="center"/>
          </w:tcPr>
          <w:p w:rsidR="005D0769" w:rsidRDefault="0090639C" w:rsidP="005D0769">
            <w:pPr>
              <w:jc w:val="center"/>
              <w:rPr>
                <w:sz w:val="22"/>
                <w:szCs w:val="22"/>
              </w:rPr>
            </w:pPr>
            <w:r>
              <w:rPr>
                <w:color w:val="000000"/>
                <w:sz w:val="22"/>
                <w:szCs w:val="22"/>
              </w:rPr>
              <w:t>1</w:t>
            </w:r>
            <w:r w:rsidR="00862AFF">
              <w:rPr>
                <w:color w:val="000000"/>
                <w:sz w:val="22"/>
                <w:szCs w:val="22"/>
              </w:rPr>
              <w:t>0</w:t>
            </w:r>
          </w:p>
        </w:tc>
        <w:tc>
          <w:tcPr>
            <w:tcW w:w="1510" w:type="dxa"/>
            <w:tcBorders>
              <w:bottom w:val="single" w:sz="4" w:space="0" w:color="auto"/>
            </w:tcBorders>
            <w:shd w:val="clear" w:color="auto" w:fill="auto"/>
            <w:vAlign w:val="center"/>
          </w:tcPr>
          <w:p w:rsidR="005D0769" w:rsidRDefault="00862AFF" w:rsidP="005D0769">
            <w:pPr>
              <w:jc w:val="center"/>
              <w:rPr>
                <w:sz w:val="22"/>
                <w:szCs w:val="22"/>
              </w:rPr>
            </w:pPr>
            <w:proofErr w:type="spellStart"/>
            <w:r>
              <w:rPr>
                <w:sz w:val="22"/>
                <w:szCs w:val="22"/>
              </w:rPr>
              <w:t>уп</w:t>
            </w:r>
            <w:proofErr w:type="spellEnd"/>
            <w:r>
              <w:rPr>
                <w:sz w:val="22"/>
                <w:szCs w:val="22"/>
              </w:rPr>
              <w:t>.</w:t>
            </w:r>
          </w:p>
        </w:tc>
        <w:tc>
          <w:tcPr>
            <w:tcW w:w="1026" w:type="dxa"/>
            <w:tcBorders>
              <w:bottom w:val="single" w:sz="4" w:space="0" w:color="auto"/>
            </w:tcBorders>
            <w:shd w:val="clear" w:color="auto" w:fill="auto"/>
            <w:vAlign w:val="center"/>
          </w:tcPr>
          <w:p w:rsidR="005D0769" w:rsidRDefault="0090639C" w:rsidP="005D0769">
            <w:pPr>
              <w:jc w:val="center"/>
              <w:rPr>
                <w:color w:val="000000"/>
                <w:sz w:val="22"/>
                <w:szCs w:val="22"/>
              </w:rPr>
            </w:pPr>
            <w:r>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color w:val="000000"/>
                <w:sz w:val="20"/>
                <w:szCs w:val="20"/>
                <w:lang w:eastAsia="zh-CN"/>
              </w:rPr>
            </w:pPr>
            <w:r>
              <w:rPr>
                <w:b/>
                <w:bCs/>
                <w:color w:val="000000"/>
                <w:sz w:val="20"/>
                <w:szCs w:val="20"/>
                <w:lang w:eastAsia="zh-CN"/>
              </w:rPr>
              <w:t>2.</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200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90639C">
            <w:pPr>
              <w:jc w:val="center"/>
            </w:pPr>
            <w:r w:rsidRPr="003B3CE0">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sz w:val="20"/>
                <w:szCs w:val="20"/>
                <w:lang w:eastAsia="zh-CN"/>
              </w:rPr>
            </w:pPr>
            <w:r>
              <w:rPr>
                <w:b/>
                <w:bCs/>
                <w:sz w:val="20"/>
                <w:szCs w:val="20"/>
                <w:lang w:eastAsia="zh-CN"/>
              </w:rPr>
              <w:t>3.</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M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200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4E0365">
            <w:pPr>
              <w:jc w:val="center"/>
            </w:pPr>
            <w:r w:rsidRPr="003B3CE0">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sz w:val="20"/>
                <w:szCs w:val="20"/>
                <w:lang w:eastAsia="zh-CN"/>
              </w:rPr>
            </w:pPr>
            <w:r>
              <w:rPr>
                <w:b/>
                <w:bCs/>
                <w:sz w:val="20"/>
                <w:szCs w:val="20"/>
                <w:lang w:eastAsia="zh-CN"/>
              </w:rPr>
              <w:t>4.</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L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70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90639C">
            <w:pPr>
              <w:jc w:val="center"/>
            </w:pPr>
            <w:r w:rsidRPr="003B3CE0">
              <w:rPr>
                <w:color w:val="000000"/>
                <w:sz w:val="22"/>
                <w:szCs w:val="22"/>
              </w:rPr>
              <w:t>1469,00</w:t>
            </w:r>
          </w:p>
        </w:tc>
      </w:tr>
    </w:tbl>
    <w:p w:rsidR="005D0769" w:rsidRDefault="005D0769" w:rsidP="005D0769">
      <w:pPr>
        <w:suppressAutoHyphens/>
        <w:spacing w:after="200" w:line="276" w:lineRule="auto"/>
        <w:rPr>
          <w:sz w:val="22"/>
          <w:szCs w:val="22"/>
          <w:lang w:eastAsia="zh-CN"/>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622303" w:rsidRPr="00622303">
        <w:rPr>
          <w:kern w:val="0"/>
          <w:lang w:eastAsia="ar-SA" w:bidi="ar-SA"/>
        </w:rPr>
        <w:t>медицинских перчаток</w:t>
      </w:r>
      <w:r>
        <w:rPr>
          <w:color w:val="000000"/>
        </w:rPr>
        <w:t xml:space="preserve"> </w:t>
      </w:r>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7C21B6" w:rsidRPr="00EC1BB9" w:rsidRDefault="00EC1BB9" w:rsidP="0028203D">
      <w:pPr>
        <w:rPr>
          <w:szCs w:val="22"/>
          <w:lang w:eastAsia="zh-CN"/>
        </w:rPr>
      </w:pPr>
      <w:r>
        <w:rPr>
          <w:lang w:eastAsia="ar-SA"/>
        </w:rPr>
        <w:tab/>
      </w:r>
      <w:r w:rsidR="007C21B6"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lastRenderedPageBreak/>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622303">
        <w:rPr>
          <w:sz w:val="22"/>
          <w:szCs w:val="22"/>
          <w:lang w:eastAsia="zh-CN"/>
        </w:rPr>
        <w:t>М</w:t>
      </w:r>
      <w:r w:rsidR="00622303" w:rsidRPr="00622303">
        <w:rPr>
          <w:sz w:val="22"/>
          <w:szCs w:val="22"/>
          <w:lang w:eastAsia="zh-CN"/>
        </w:rPr>
        <w:t>едицински</w:t>
      </w:r>
      <w:r w:rsidR="00622303">
        <w:rPr>
          <w:sz w:val="22"/>
          <w:szCs w:val="22"/>
          <w:lang w:eastAsia="zh-CN"/>
        </w:rPr>
        <w:t>е</w:t>
      </w:r>
      <w:r w:rsidR="00622303" w:rsidRPr="00622303">
        <w:rPr>
          <w:sz w:val="22"/>
          <w:szCs w:val="22"/>
          <w:lang w:eastAsia="zh-CN"/>
        </w:rPr>
        <w:t xml:space="preserve"> перчат</w:t>
      </w:r>
      <w:r w:rsidR="00622303">
        <w:rPr>
          <w:sz w:val="22"/>
          <w:szCs w:val="22"/>
          <w:lang w:eastAsia="zh-CN"/>
        </w:rPr>
        <w:t>ки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C90E78" w:rsidP="007C21B6">
      <w:pPr>
        <w:suppressAutoHyphens/>
        <w:jc w:val="both"/>
        <w:rPr>
          <w:sz w:val="22"/>
          <w:szCs w:val="22"/>
          <w:lang w:eastAsia="zh-CN"/>
        </w:rPr>
      </w:pPr>
      <w:r>
        <w:rPr>
          <w:sz w:val="22"/>
          <w:szCs w:val="22"/>
          <w:lang w:eastAsia="zh-CN"/>
        </w:rPr>
        <w:t xml:space="preserve">Адрес поставки: </w:t>
      </w:r>
      <w:r w:rsidR="005B61A2" w:rsidRPr="005366AC">
        <w:t>165150, Архангельская обл., г.</w:t>
      </w:r>
      <w:r w:rsidR="005B61A2">
        <w:t xml:space="preserve"> </w:t>
      </w:r>
      <w:r w:rsidR="005B61A2" w:rsidRPr="005366AC">
        <w:t>Вельск, ул.</w:t>
      </w:r>
      <w:r w:rsidR="005B61A2">
        <w:t xml:space="preserve"> </w:t>
      </w:r>
      <w:r w:rsidR="005B61A2"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C90E78" w:rsidRPr="00C90E78" w:rsidRDefault="00C90E78" w:rsidP="00C90E78">
      <w:pPr>
        <w:suppressAutoHyphens/>
        <w:ind w:firstLine="709"/>
        <w:jc w:val="both"/>
        <w:rPr>
          <w:bCs/>
          <w:sz w:val="22"/>
          <w:szCs w:val="22"/>
          <w:lang w:eastAsia="zh-CN"/>
        </w:rPr>
      </w:pPr>
      <w:r w:rsidRPr="00C90E78">
        <w:rPr>
          <w:bCs/>
          <w:sz w:val="22"/>
          <w:szCs w:val="22"/>
          <w:lang w:eastAsia="zh-CN"/>
        </w:rPr>
        <w:t xml:space="preserve">Товар поставляется партиями с даты заключения договора </w:t>
      </w:r>
      <w:r w:rsidRPr="00C90E78">
        <w:rPr>
          <w:b/>
          <w:bCs/>
          <w:i/>
          <w:sz w:val="22"/>
          <w:szCs w:val="22"/>
          <w:u w:val="single"/>
          <w:lang w:eastAsia="zh-CN"/>
        </w:rPr>
        <w:t xml:space="preserve">по </w:t>
      </w:r>
      <w:r>
        <w:rPr>
          <w:b/>
          <w:bCs/>
          <w:i/>
          <w:sz w:val="22"/>
          <w:szCs w:val="22"/>
          <w:u w:val="single"/>
          <w:lang w:eastAsia="zh-CN"/>
        </w:rPr>
        <w:t>15</w:t>
      </w:r>
      <w:r w:rsidRPr="00C90E78">
        <w:rPr>
          <w:b/>
          <w:bCs/>
          <w:i/>
          <w:sz w:val="22"/>
          <w:szCs w:val="22"/>
          <w:u w:val="single"/>
          <w:lang w:eastAsia="zh-CN"/>
        </w:rPr>
        <w:t xml:space="preserve"> </w:t>
      </w:r>
      <w:r>
        <w:rPr>
          <w:b/>
          <w:bCs/>
          <w:i/>
          <w:sz w:val="22"/>
          <w:szCs w:val="22"/>
          <w:u w:val="single"/>
          <w:lang w:eastAsia="zh-CN"/>
        </w:rPr>
        <w:t>декабря</w:t>
      </w:r>
      <w:r w:rsidRPr="00C90E78">
        <w:rPr>
          <w:b/>
          <w:bCs/>
          <w:i/>
          <w:sz w:val="22"/>
          <w:szCs w:val="22"/>
          <w:u w:val="single"/>
          <w:lang w:eastAsia="zh-CN"/>
        </w:rPr>
        <w:t xml:space="preserve"> 2021 года</w:t>
      </w:r>
      <w:r w:rsidRPr="00C90E78">
        <w:rPr>
          <w:bCs/>
          <w:sz w:val="22"/>
          <w:szCs w:val="22"/>
          <w:lang w:eastAsia="zh-CN"/>
        </w:rPr>
        <w:t>, согласно письменным плановым и срочным заявкам (требованиям) Заказчика в следующие сроки:</w:t>
      </w:r>
    </w:p>
    <w:p w:rsidR="00C90E78" w:rsidRPr="00C90E78" w:rsidRDefault="00C90E78" w:rsidP="00C90E78">
      <w:pPr>
        <w:suppressAutoHyphens/>
        <w:jc w:val="both"/>
        <w:rPr>
          <w:bCs/>
          <w:sz w:val="22"/>
          <w:szCs w:val="22"/>
          <w:lang w:eastAsia="zh-CN"/>
        </w:rPr>
      </w:pPr>
      <w:r w:rsidRPr="00C90E78">
        <w:rPr>
          <w:bCs/>
          <w:sz w:val="22"/>
          <w:szCs w:val="22"/>
          <w:lang w:eastAsia="zh-CN"/>
        </w:rPr>
        <w:t>-</w:t>
      </w:r>
      <w:r w:rsidRPr="00C90E78">
        <w:rPr>
          <w:bCs/>
          <w:sz w:val="22"/>
          <w:szCs w:val="22"/>
          <w:lang w:eastAsia="zh-CN"/>
        </w:rPr>
        <w:tab/>
        <w:t>плановая поставка Товара Заказчику – в течение 7-ми рабочих дней после получения плановой заявки (требования);</w:t>
      </w:r>
    </w:p>
    <w:p w:rsidR="00C90E78" w:rsidRPr="00C90E78" w:rsidRDefault="00C90E78" w:rsidP="00C90E78">
      <w:pPr>
        <w:suppressAutoHyphens/>
        <w:jc w:val="both"/>
        <w:rPr>
          <w:bCs/>
          <w:sz w:val="22"/>
          <w:szCs w:val="22"/>
          <w:lang w:eastAsia="zh-CN"/>
        </w:rPr>
      </w:pPr>
      <w:r w:rsidRPr="00C90E78">
        <w:rPr>
          <w:bCs/>
          <w:sz w:val="22"/>
          <w:szCs w:val="22"/>
          <w:lang w:eastAsia="zh-CN"/>
        </w:rPr>
        <w:t>-</w:t>
      </w:r>
      <w:r w:rsidRPr="00C90E78">
        <w:rPr>
          <w:bCs/>
          <w:sz w:val="22"/>
          <w:szCs w:val="22"/>
          <w:lang w:eastAsia="zh-CN"/>
        </w:rPr>
        <w:tab/>
        <w:t>срочная поставка Товара Заказчику – в течение 3-х рабочих дней после получения плановой заявки (требования).</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622303" w:rsidRPr="00622303">
        <w:rPr>
          <w:b/>
        </w:rPr>
        <w:t>медицинских перчаток</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622303" w:rsidRPr="00622303">
        <w:rPr>
          <w:b/>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A20DC5" w:rsidRPr="00A20DC5" w:rsidRDefault="007C21B6" w:rsidP="00A20DC5">
      <w:pPr>
        <w:tabs>
          <w:tab w:val="left" w:pos="1232"/>
        </w:tabs>
        <w:ind w:firstLine="709"/>
        <w:jc w:val="both"/>
        <w:rPr>
          <w:snapToGrid w:val="0"/>
        </w:rPr>
      </w:pPr>
      <w:r w:rsidRPr="00A20DC5">
        <w:rPr>
          <w:snapToGrid w:val="0"/>
        </w:rPr>
        <w:t xml:space="preserve">1.2. </w:t>
      </w:r>
      <w:r w:rsidR="00A20DC5" w:rsidRPr="00A20DC5">
        <w:rPr>
          <w:snapToGrid w:val="0"/>
        </w:rPr>
        <w:t>Товар</w:t>
      </w:r>
      <w:r w:rsidR="00A20DC5" w:rsidRPr="00306A95">
        <w:t xml:space="preserve"> поставляется </w:t>
      </w:r>
      <w:r w:rsidR="00A20DC5" w:rsidRPr="00A20DC5">
        <w:rPr>
          <w:snapToGrid w:val="0"/>
        </w:rPr>
        <w:t xml:space="preserve">партиями </w:t>
      </w:r>
      <w:r w:rsidR="00A20DC5" w:rsidRPr="00306A95">
        <w:t xml:space="preserve">с даты заключения договора </w:t>
      </w:r>
      <w:r w:rsidR="00A20DC5">
        <w:rPr>
          <w:b/>
          <w:i/>
          <w:u w:val="single"/>
        </w:rPr>
        <w:t>по 15</w:t>
      </w:r>
      <w:r w:rsidR="00A20DC5" w:rsidRPr="00A20DC5">
        <w:rPr>
          <w:b/>
          <w:i/>
          <w:u w:val="single"/>
        </w:rPr>
        <w:t xml:space="preserve"> </w:t>
      </w:r>
      <w:r w:rsidR="00A20DC5">
        <w:rPr>
          <w:b/>
          <w:i/>
          <w:u w:val="single"/>
        </w:rPr>
        <w:t>декабря</w:t>
      </w:r>
      <w:r w:rsidR="00A20DC5" w:rsidRPr="00A20DC5">
        <w:rPr>
          <w:b/>
          <w:i/>
          <w:u w:val="single"/>
        </w:rPr>
        <w:t xml:space="preserve"> 2021 года</w:t>
      </w:r>
      <w:r w:rsidR="00A20DC5" w:rsidRPr="00306A95">
        <w:t xml:space="preserve">, согласно </w:t>
      </w:r>
      <w:r w:rsidR="00A20DC5" w:rsidRPr="00A20DC5">
        <w:rPr>
          <w:i/>
        </w:rPr>
        <w:t>письменным плановым и срочным заявкам</w:t>
      </w:r>
      <w:r w:rsidR="00A20DC5" w:rsidRPr="00306A95">
        <w:t xml:space="preserve"> (требованиям) Заказчика в следующие сроки:</w:t>
      </w:r>
    </w:p>
    <w:p w:rsidR="00A20DC5" w:rsidRPr="00306A95" w:rsidRDefault="00A20DC5" w:rsidP="00A20DC5">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плановая поставка Товара Заказчику – в течение 7-ми рабочих дней после получения плановой заявки (требования);</w:t>
      </w:r>
    </w:p>
    <w:p w:rsidR="00A20DC5" w:rsidRPr="00306A95" w:rsidRDefault="00A20DC5" w:rsidP="00A20DC5">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срочная поставка Товара Заказчику – в течение 3-х рабочих дней после получения плановой заявки (требования).</w:t>
      </w:r>
    </w:p>
    <w:p w:rsidR="007C21B6" w:rsidRPr="00186A7A" w:rsidRDefault="007C21B6" w:rsidP="007C21B6">
      <w:pPr>
        <w:shd w:val="clear" w:color="auto" w:fill="FFFFFF" w:themeFill="background1"/>
        <w:ind w:firstLine="709"/>
        <w:jc w:val="both"/>
        <w:rPr>
          <w:rFonts w:ascii="Times New Roman CYR" w:hAnsi="Times New Roman CYR"/>
        </w:rPr>
      </w:pP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f"/>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f"/>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f"/>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f"/>
              <w:spacing w:after="0"/>
            </w:pPr>
            <w:r>
              <w:rPr>
                <w:sz w:val="22"/>
                <w:szCs w:val="22"/>
              </w:rPr>
              <w:t>Телефон: (8-818-36) 6-44-66</w:t>
            </w:r>
          </w:p>
          <w:p w:rsidR="008D72C1" w:rsidRDefault="008D72C1" w:rsidP="008C7CEF">
            <w:pPr>
              <w:pStyle w:val="aff"/>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f"/>
              <w:spacing w:after="0"/>
            </w:pPr>
            <w:r>
              <w:rPr>
                <w:sz w:val="22"/>
                <w:szCs w:val="22"/>
              </w:rPr>
              <w:t>ИНН 2907002500 / КПП 290701001</w:t>
            </w:r>
          </w:p>
          <w:p w:rsidR="00EB54EA" w:rsidRPr="005B38F1" w:rsidRDefault="00EB54EA" w:rsidP="00EB54EA">
            <w:pPr>
              <w:pStyle w:val="aff"/>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f"/>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EB54EA" w:rsidRPr="005B38F1" w:rsidRDefault="00EB54EA" w:rsidP="00EB54EA">
            <w:pPr>
              <w:pStyle w:val="aff"/>
              <w:spacing w:after="0"/>
              <w:rPr>
                <w:sz w:val="22"/>
                <w:szCs w:val="22"/>
              </w:rPr>
            </w:pPr>
            <w:r w:rsidRPr="005B38F1">
              <w:rPr>
                <w:sz w:val="22"/>
                <w:szCs w:val="22"/>
              </w:rPr>
              <w:t xml:space="preserve">БИК 011117401  </w:t>
            </w:r>
          </w:p>
          <w:p w:rsidR="00EB54EA" w:rsidRPr="005B38F1" w:rsidRDefault="00EB54EA" w:rsidP="00EB54EA">
            <w:pPr>
              <w:pStyle w:val="aff"/>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f"/>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622303" w:rsidRPr="00622303">
        <w:rPr>
          <w:b/>
          <w:color w:val="000000"/>
        </w:rPr>
        <w:t>медицинских перчаток</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C2" w:rsidRDefault="00E85DC2">
      <w:r>
        <w:separator/>
      </w:r>
    </w:p>
  </w:endnote>
  <w:endnote w:type="continuationSeparator" w:id="0">
    <w:p w:rsidR="00E85DC2" w:rsidRDefault="00E8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C2" w:rsidRDefault="00E85DC2">
      <w:r>
        <w:separator/>
      </w:r>
    </w:p>
  </w:footnote>
  <w:footnote w:type="continuationSeparator" w:id="0">
    <w:p w:rsidR="00E85DC2" w:rsidRDefault="00E8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C2" w:rsidRDefault="00E85DC2">
    <w:pPr>
      <w:pStyle w:val="a5"/>
      <w:jc w:val="center"/>
    </w:pPr>
    <w:r>
      <w:fldChar w:fldCharType="begin"/>
    </w:r>
    <w:r>
      <w:instrText>PAGE   \* MERGEFORMAT</w:instrText>
    </w:r>
    <w:r>
      <w:fldChar w:fldCharType="separate"/>
    </w:r>
    <w:r w:rsidR="00CD5872">
      <w:rPr>
        <w:noProof/>
      </w:rPr>
      <w:t>4</w:t>
    </w:r>
    <w:r>
      <w:rPr>
        <w:noProof/>
      </w:rPr>
      <w:fldChar w:fldCharType="end"/>
    </w:r>
  </w:p>
  <w:p w:rsidR="00E85DC2" w:rsidRDefault="00E85DC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C2" w:rsidRDefault="00E85DC2">
    <w:pPr>
      <w:pStyle w:val="a5"/>
      <w:jc w:val="center"/>
    </w:pPr>
  </w:p>
  <w:p w:rsidR="00E85DC2" w:rsidRDefault="00E85DC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8"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4"/>
  </w:num>
  <w:num w:numId="2">
    <w:abstractNumId w:val="29"/>
  </w:num>
  <w:num w:numId="3">
    <w:abstractNumId w:val="41"/>
  </w:num>
  <w:num w:numId="4">
    <w:abstractNumId w:val="26"/>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0"/>
  </w:num>
  <w:num w:numId="18">
    <w:abstractNumId w:val="22"/>
  </w:num>
  <w:num w:numId="19">
    <w:abstractNumId w:val="14"/>
  </w:num>
  <w:num w:numId="20">
    <w:abstractNumId w:val="27"/>
  </w:num>
  <w:num w:numId="21">
    <w:abstractNumId w:val="33"/>
  </w:num>
  <w:num w:numId="22">
    <w:abstractNumId w:val="40"/>
  </w:num>
  <w:num w:numId="23">
    <w:abstractNumId w:val="21"/>
  </w:num>
  <w:num w:numId="24">
    <w:abstractNumId w:val="25"/>
  </w:num>
  <w:num w:numId="25">
    <w:abstractNumId w:val="16"/>
  </w:num>
  <w:num w:numId="26">
    <w:abstractNumId w:val="18"/>
  </w:num>
  <w:num w:numId="27">
    <w:abstractNumId w:val="19"/>
  </w:num>
  <w:num w:numId="28">
    <w:abstractNumId w:val="20"/>
  </w:num>
  <w:num w:numId="29">
    <w:abstractNumId w:val="28"/>
  </w:num>
  <w:num w:numId="30">
    <w:abstractNumId w:val="13"/>
  </w:num>
  <w:num w:numId="31">
    <w:abstractNumId w:val="32"/>
  </w:num>
  <w:num w:numId="32">
    <w:abstractNumId w:val="31"/>
  </w:num>
  <w:num w:numId="33">
    <w:abstractNumId w:val="36"/>
  </w:num>
  <w:num w:numId="34">
    <w:abstractNumId w:val="35"/>
  </w:num>
  <w:num w:numId="35">
    <w:abstractNumId w:val="39"/>
  </w:num>
  <w:num w:numId="36">
    <w:abstractNumId w:val="15"/>
  </w:num>
  <w:num w:numId="37">
    <w:abstractNumId w:val="0"/>
  </w:num>
  <w:num w:numId="38">
    <w:abstractNumId w:val="38"/>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4"/>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21BE"/>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2BBC"/>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B51"/>
    <w:rsid w:val="001D3777"/>
    <w:rsid w:val="001D444F"/>
    <w:rsid w:val="001D48CA"/>
    <w:rsid w:val="001D50DE"/>
    <w:rsid w:val="001D5786"/>
    <w:rsid w:val="001D5D4F"/>
    <w:rsid w:val="001D5F30"/>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5ECE"/>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03D"/>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77A59"/>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19E7"/>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365"/>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5821"/>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71D"/>
    <w:rsid w:val="00646EF7"/>
    <w:rsid w:val="00647479"/>
    <w:rsid w:val="00650797"/>
    <w:rsid w:val="0065197F"/>
    <w:rsid w:val="00652127"/>
    <w:rsid w:val="00652496"/>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0EAA"/>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639C"/>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0DC5"/>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463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95D"/>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0E78"/>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5872"/>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5DC2"/>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8F5"/>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CC51ED"/>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uiPriority w:val="99"/>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99"/>
    <w:qFormat/>
    <w:rsid w:val="00C53106"/>
    <w:rPr>
      <w:rFonts w:ascii="Calibri" w:eastAsia="Calibri" w:hAnsi="Calibri"/>
      <w:sz w:val="22"/>
      <w:szCs w:val="22"/>
      <w:lang w:eastAsia="en-US"/>
    </w:rPr>
  </w:style>
  <w:style w:type="character" w:customStyle="1" w:styleId="af2">
    <w:name w:val="Без интервала Знак"/>
    <w:link w:val="af1"/>
    <w:uiPriority w:val="99"/>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e">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rsid w:val="008D72C1"/>
    <w:pPr>
      <w:spacing w:after="120"/>
    </w:pPr>
  </w:style>
  <w:style w:type="character" w:customStyle="1" w:styleId="aff0">
    <w:name w:val="Основной текст Знак"/>
    <w:basedOn w:val="a0"/>
    <w:link w:val="aff"/>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character" w:customStyle="1" w:styleId="ae">
    <w:name w:val="Абзац списка Знак"/>
    <w:link w:val="ad"/>
    <w:uiPriority w:val="34"/>
    <w:locked/>
    <w:rsid w:val="00A20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E8B1-4FC4-49BF-9441-17C8B786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31</Pages>
  <Words>7671</Words>
  <Characters>56342</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63886</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85</cp:revision>
  <cp:lastPrinted>2021-04-21T12:33:00Z</cp:lastPrinted>
  <dcterms:created xsi:type="dcterms:W3CDTF">2019-02-26T08:37:00Z</dcterms:created>
  <dcterms:modified xsi:type="dcterms:W3CDTF">2021-08-25T06:53:00Z</dcterms:modified>
</cp:coreProperties>
</file>